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EF" w:rsidRPr="00AF57F8" w:rsidRDefault="00F21AEF" w:rsidP="00294AFD">
      <w:pPr>
        <w:widowControl w:val="0"/>
        <w:autoSpaceDE w:val="0"/>
        <w:autoSpaceDN w:val="0"/>
        <w:adjustRightInd w:val="0"/>
        <w:rPr>
          <w:rFonts w:ascii="Georgia" w:hAnsi="Georgia" w:cs="Georgia"/>
          <w:sz w:val="16"/>
          <w:szCs w:val="16"/>
        </w:rPr>
      </w:pPr>
      <w:bookmarkStart w:id="0" w:name="_GoBack"/>
    </w:p>
    <w:p w:rsidR="00294AFD" w:rsidRPr="00AF57F8" w:rsidRDefault="00294AFD" w:rsidP="00294AFD">
      <w:pPr>
        <w:widowControl w:val="0"/>
        <w:autoSpaceDE w:val="0"/>
        <w:autoSpaceDN w:val="0"/>
        <w:adjustRightInd w:val="0"/>
        <w:rPr>
          <w:rFonts w:ascii="Helvetica Neue" w:hAnsi="Helvetica Neue" w:cs="Helvetica Neue"/>
          <w:sz w:val="16"/>
          <w:szCs w:val="16"/>
        </w:rPr>
      </w:pPr>
      <w:r w:rsidRPr="00AF57F8">
        <w:rPr>
          <w:rFonts w:ascii="Georgia" w:hAnsi="Georgia" w:cs="Georgia"/>
          <w:sz w:val="16"/>
          <w:szCs w:val="16"/>
        </w:rPr>
        <w:t>Inégalités, finance folle</w:t>
      </w:r>
      <w:r w:rsidR="00F21AEF" w:rsidRPr="00AF57F8">
        <w:rPr>
          <w:rFonts w:ascii="Georgia" w:hAnsi="Georgia" w:cs="Georgia"/>
          <w:sz w:val="16"/>
          <w:szCs w:val="16"/>
        </w:rPr>
        <w:t>.</w:t>
      </w:r>
      <w:r w:rsidRPr="00AF57F8">
        <w:rPr>
          <w:rFonts w:ascii="Georgia" w:hAnsi="Georgia" w:cs="Georgia"/>
          <w:sz w:val="16"/>
          <w:szCs w:val="16"/>
        </w:rPr>
        <w:t> </w:t>
      </w:r>
    </w:p>
    <w:p w:rsidR="00294AFD" w:rsidRPr="00AF57F8" w:rsidRDefault="008107E3" w:rsidP="00294AFD">
      <w:pPr>
        <w:widowControl w:val="0"/>
        <w:autoSpaceDE w:val="0"/>
        <w:autoSpaceDN w:val="0"/>
        <w:adjustRightInd w:val="0"/>
        <w:rPr>
          <w:rFonts w:ascii="Georgia" w:hAnsi="Georgia" w:cs="Georgia"/>
          <w:sz w:val="16"/>
          <w:szCs w:val="16"/>
        </w:rPr>
      </w:pPr>
      <w:hyperlink r:id="rId4" w:history="1">
        <w:r w:rsidR="00294AFD" w:rsidRPr="00AF57F8">
          <w:rPr>
            <w:rFonts w:ascii="Georgia" w:hAnsi="Georgia" w:cs="Georgia"/>
            <w:bCs/>
            <w:sz w:val="16"/>
            <w:szCs w:val="16"/>
          </w:rPr>
          <w:t>Les 1% les plus riches de la planète le seront plus que les 99% restant l’an prochain</w:t>
        </w:r>
      </w:hyperlink>
      <w:r w:rsidR="00294AFD" w:rsidRPr="00AF57F8">
        <w:rPr>
          <w:rFonts w:ascii="Georgia" w:hAnsi="Georgia" w:cs="Georgia"/>
          <w:sz w:val="16"/>
          <w:szCs w:val="16"/>
        </w:rPr>
        <w:t xml:space="preserve">. </w:t>
      </w:r>
      <w:hyperlink r:id="rId5" w:history="1">
        <w:r w:rsidR="00294AFD" w:rsidRPr="00AF57F8">
          <w:rPr>
            <w:rFonts w:ascii="Georgia" w:hAnsi="Georgia" w:cs="Georgia"/>
            <w:bCs/>
            <w:sz w:val="16"/>
            <w:szCs w:val="16"/>
          </w:rPr>
          <w:t>Le secteur financier se porte plutôt bien</w:t>
        </w:r>
      </w:hyperlink>
      <w:r w:rsidR="00294AFD" w:rsidRPr="00AF57F8">
        <w:rPr>
          <w:rFonts w:ascii="Georgia" w:hAnsi="Georgia" w:cs="Georgia"/>
          <w:sz w:val="16"/>
          <w:szCs w:val="16"/>
        </w:rPr>
        <w:t xml:space="preserve"> et </w:t>
      </w:r>
      <w:hyperlink r:id="rId6" w:history="1">
        <w:r w:rsidR="00294AFD" w:rsidRPr="00AF57F8">
          <w:rPr>
            <w:rFonts w:ascii="Georgia" w:hAnsi="Georgia" w:cs="Georgia"/>
            <w:bCs/>
            <w:sz w:val="16"/>
            <w:szCs w:val="16"/>
          </w:rPr>
          <w:t>manœuvre pour éviter les règles</w:t>
        </w:r>
      </w:hyperlink>
      <w:r w:rsidR="00294AFD" w:rsidRPr="00AF57F8">
        <w:rPr>
          <w:rFonts w:ascii="Georgia" w:hAnsi="Georgia" w:cs="Georgia"/>
          <w:sz w:val="16"/>
          <w:szCs w:val="16"/>
        </w:rPr>
        <w:t xml:space="preserve">. Parce que </w:t>
      </w:r>
      <w:hyperlink r:id="rId7" w:history="1">
        <w:r w:rsidR="00294AFD" w:rsidRPr="00AF57F8">
          <w:rPr>
            <w:rFonts w:ascii="Georgia" w:hAnsi="Georgia" w:cs="Georgia"/>
            <w:bCs/>
            <w:sz w:val="16"/>
            <w:szCs w:val="16"/>
          </w:rPr>
          <w:t>rien ou presque n’a été tiré de la crise</w:t>
        </w:r>
      </w:hyperlink>
      <w:r w:rsidR="00294AFD" w:rsidRPr="00AF57F8">
        <w:rPr>
          <w:rFonts w:ascii="Georgia" w:hAnsi="Georgia" w:cs="Georgia"/>
          <w:sz w:val="16"/>
          <w:szCs w:val="16"/>
        </w:rPr>
        <w:t>, nous sommes revenus d</w:t>
      </w:r>
      <w:r w:rsidR="00F21AEF" w:rsidRPr="00AF57F8">
        <w:rPr>
          <w:rFonts w:ascii="Georgia" w:hAnsi="Georgia" w:cs="Georgia"/>
          <w:sz w:val="16"/>
          <w:szCs w:val="16"/>
        </w:rPr>
        <w:t>ix ans en arrière, pour le pire,</w:t>
      </w:r>
      <w:r w:rsidR="00294AFD" w:rsidRPr="00AF57F8">
        <w:rPr>
          <w:rFonts w:ascii="Georgia" w:hAnsi="Georgia" w:cs="Georgia"/>
          <w:sz w:val="16"/>
          <w:szCs w:val="16"/>
        </w:rPr>
        <w:t xml:space="preserve"> et le pire.</w:t>
      </w:r>
    </w:p>
    <w:p w:rsidR="00294AFD" w:rsidRPr="00AF57F8" w:rsidRDefault="00294AFD" w:rsidP="00294AFD">
      <w:pPr>
        <w:widowControl w:val="0"/>
        <w:autoSpaceDE w:val="0"/>
        <w:autoSpaceDN w:val="0"/>
        <w:adjustRightInd w:val="0"/>
        <w:rPr>
          <w:rFonts w:ascii="Georgia" w:hAnsi="Georgia" w:cs="Georgia"/>
          <w:sz w:val="16"/>
          <w:szCs w:val="16"/>
        </w:rPr>
      </w:pPr>
    </w:p>
    <w:p w:rsidR="00294AFD" w:rsidRPr="00AF57F8" w:rsidRDefault="00294AFD" w:rsidP="00294AFD">
      <w:pPr>
        <w:widowControl w:val="0"/>
        <w:autoSpaceDE w:val="0"/>
        <w:autoSpaceDN w:val="0"/>
        <w:adjustRightInd w:val="0"/>
        <w:rPr>
          <w:rFonts w:ascii="Georgia" w:hAnsi="Georgia" w:cs="Georgia"/>
          <w:sz w:val="16"/>
          <w:szCs w:val="16"/>
        </w:rPr>
      </w:pPr>
      <w:r w:rsidRPr="00AF57F8">
        <w:rPr>
          <w:rFonts w:ascii="Georgia" w:hAnsi="Georgia" w:cs="Georgia"/>
          <w:bCs/>
          <w:sz w:val="16"/>
          <w:szCs w:val="16"/>
        </w:rPr>
        <w:t>Le retour de la finance folle</w:t>
      </w:r>
      <w:r w:rsidR="00F21AEF" w:rsidRPr="00AF57F8">
        <w:rPr>
          <w:rFonts w:ascii="Georgia" w:hAnsi="Georgia" w:cs="Georgia"/>
          <w:bCs/>
          <w:sz w:val="16"/>
          <w:szCs w:val="16"/>
        </w:rPr>
        <w:t>.</w:t>
      </w:r>
    </w:p>
    <w:p w:rsidR="00294AFD" w:rsidRPr="00AF57F8" w:rsidRDefault="00294AFD" w:rsidP="00294AFD">
      <w:pPr>
        <w:widowControl w:val="0"/>
        <w:autoSpaceDE w:val="0"/>
        <w:autoSpaceDN w:val="0"/>
        <w:adjustRightInd w:val="0"/>
        <w:rPr>
          <w:rFonts w:ascii="Georgia" w:hAnsi="Georgia" w:cs="Georgia"/>
          <w:sz w:val="16"/>
          <w:szCs w:val="16"/>
        </w:rPr>
      </w:pPr>
      <w:r w:rsidRPr="00AF57F8">
        <w:rPr>
          <w:rFonts w:ascii="Georgia" w:hAnsi="Georgia" w:cs="Georgia"/>
          <w:sz w:val="16"/>
          <w:szCs w:val="16"/>
        </w:rPr>
        <w:t xml:space="preserve">Bien sûr, les banquiers diront qu’ils subissent un alourdissement terrible de la réglementation et qu’ils ne sont plus aussi rentables qu’avant la crise de ce fait. Et il y a une part de vérité dans cette vision des choses. Néanmoins, </w:t>
      </w:r>
      <w:hyperlink r:id="rId8" w:history="1">
        <w:r w:rsidRPr="00AF57F8">
          <w:rPr>
            <w:rFonts w:ascii="Georgia" w:hAnsi="Georgia" w:cs="Georgia"/>
            <w:bCs/>
            <w:sz w:val="16"/>
            <w:szCs w:val="16"/>
          </w:rPr>
          <w:t>quand on constate que Goldman Sachs réalise un profit de 8,5 milliards de dollars pour un chiffre d’affaire de 34,5 milliards</w:t>
        </w:r>
      </w:hyperlink>
      <w:r w:rsidRPr="00AF57F8">
        <w:rPr>
          <w:rFonts w:ascii="Georgia" w:hAnsi="Georgia" w:cs="Georgia"/>
          <w:sz w:val="16"/>
          <w:szCs w:val="16"/>
        </w:rPr>
        <w:t>, soit une marge colossale de 25%, on se dit que ce secteur d’activité bénéficie quan</w:t>
      </w:r>
      <w:r w:rsidR="00F21AEF" w:rsidRPr="00AF57F8">
        <w:rPr>
          <w:rFonts w:ascii="Georgia" w:hAnsi="Georgia" w:cs="Georgia"/>
          <w:sz w:val="16"/>
          <w:szCs w:val="16"/>
        </w:rPr>
        <w:t>d même d’une situation anormale.</w:t>
      </w:r>
      <w:r w:rsidRPr="00AF57F8">
        <w:rPr>
          <w:rFonts w:ascii="Georgia" w:hAnsi="Georgia" w:cs="Georgia"/>
          <w:sz w:val="16"/>
          <w:szCs w:val="16"/>
        </w:rPr>
        <w:t xml:space="preserve"> D’ailleurs, </w:t>
      </w:r>
      <w:hyperlink r:id="rId9" w:history="1">
        <w:r w:rsidRPr="00AF57F8">
          <w:rPr>
            <w:rFonts w:ascii="Georgia" w:hAnsi="Georgia" w:cs="Georgia"/>
            <w:bCs/>
            <w:sz w:val="16"/>
            <w:szCs w:val="16"/>
          </w:rPr>
          <w:t>Thomson Reuters a rapporté une croissance des commissions de conseil en fusions-acquisitions de 6,8% en 2014, à 90 milliards de dollars </w:t>
        </w:r>
      </w:hyperlink>
      <w:r w:rsidRPr="00AF57F8">
        <w:rPr>
          <w:rFonts w:ascii="Georgia" w:hAnsi="Georgia" w:cs="Georgia"/>
          <w:sz w:val="16"/>
          <w:szCs w:val="16"/>
        </w:rPr>
        <w:t> : le secteur se rapproche de la barre des 100 milliards, passée en 2007.</w:t>
      </w:r>
    </w:p>
    <w:p w:rsidR="00294AFD" w:rsidRPr="00AF57F8" w:rsidRDefault="00294AFD" w:rsidP="00294AFD">
      <w:pPr>
        <w:widowControl w:val="0"/>
        <w:autoSpaceDE w:val="0"/>
        <w:autoSpaceDN w:val="0"/>
        <w:adjustRightInd w:val="0"/>
        <w:rPr>
          <w:rFonts w:ascii="Georgia" w:hAnsi="Georgia" w:cs="Georgia"/>
          <w:sz w:val="16"/>
          <w:szCs w:val="16"/>
        </w:rPr>
      </w:pPr>
      <w:r w:rsidRPr="00AF57F8">
        <w:rPr>
          <w:rFonts w:ascii="Georgia" w:hAnsi="Georgia" w:cs="Georgia"/>
          <w:bCs/>
          <w:sz w:val="16"/>
          <w:szCs w:val="16"/>
        </w:rPr>
        <w:t>Champagne en haut, misère en bas</w:t>
      </w:r>
      <w:r w:rsidR="00F21AEF" w:rsidRPr="00AF57F8">
        <w:rPr>
          <w:rFonts w:ascii="Georgia" w:hAnsi="Georgia" w:cs="Georgia"/>
          <w:bCs/>
          <w:sz w:val="16"/>
          <w:szCs w:val="16"/>
        </w:rPr>
        <w:t>.</w:t>
      </w:r>
    </w:p>
    <w:p w:rsidR="00294AFD" w:rsidRPr="00AF57F8" w:rsidRDefault="008107E3" w:rsidP="00294AFD">
      <w:pPr>
        <w:widowControl w:val="0"/>
        <w:autoSpaceDE w:val="0"/>
        <w:autoSpaceDN w:val="0"/>
        <w:adjustRightInd w:val="0"/>
        <w:rPr>
          <w:rFonts w:ascii="Georgia" w:hAnsi="Georgia" w:cs="Georgia"/>
          <w:sz w:val="16"/>
          <w:szCs w:val="16"/>
        </w:rPr>
      </w:pPr>
      <w:hyperlink r:id="rId10" w:history="1">
        <w:r w:rsidR="00294AFD" w:rsidRPr="00AF57F8">
          <w:rPr>
            <w:rFonts w:ascii="Georgia" w:hAnsi="Georgia" w:cs="Georgia"/>
            <w:bCs/>
            <w:sz w:val="16"/>
            <w:szCs w:val="16"/>
          </w:rPr>
          <w:t>Oxfam a publié une étude révélant qu’1% de la population mondiale possède 48% des richesses, contre 44% en 2009, et que le seuil des 50% devrait être dépassé en 2016</w:t>
        </w:r>
      </w:hyperlink>
      <w:r w:rsidR="00294AFD" w:rsidRPr="00AF57F8">
        <w:rPr>
          <w:rFonts w:ascii="Georgia" w:hAnsi="Georgia" w:cs="Georgia"/>
          <w:sz w:val="16"/>
          <w:szCs w:val="16"/>
        </w:rPr>
        <w:t>. L’étude précise également que 80% de la population mondiale se partage seulement 5,5% de la richesse. Elle note que « </w:t>
      </w:r>
      <w:hyperlink r:id="rId11" w:history="1">
        <w:r w:rsidR="00294AFD" w:rsidRPr="00AF57F8">
          <w:rPr>
            <w:rFonts w:ascii="Georgia" w:hAnsi="Georgia" w:cs="Georgia"/>
            <w:bCs/>
            <w:i/>
            <w:iCs/>
            <w:sz w:val="16"/>
            <w:szCs w:val="16"/>
          </w:rPr>
          <w:t>le fossé entre les grandes fortunes et le reste de la population se creuse rapidement </w:t>
        </w:r>
      </w:hyperlink>
      <w:r w:rsidR="00294AFD" w:rsidRPr="00AF57F8">
        <w:rPr>
          <w:rFonts w:ascii="Georgia" w:hAnsi="Georgia" w:cs="Georgia"/>
          <w:sz w:val="16"/>
          <w:szCs w:val="16"/>
        </w:rPr>
        <w:t xml:space="preserve"> » en indiquant que les 80 personnes les plus riches se partagent le même montant de richesses que 3,5 milliards d’autres. Et tout ceci se retrouve également au niveau national, </w:t>
      </w:r>
      <w:hyperlink r:id="rId12" w:history="1">
        <w:r w:rsidR="00294AFD" w:rsidRPr="00AF57F8">
          <w:rPr>
            <w:rFonts w:ascii="Georgia" w:hAnsi="Georgia" w:cs="Georgia"/>
            <w:bCs/>
            <w:sz w:val="16"/>
            <w:szCs w:val="16"/>
          </w:rPr>
          <w:t xml:space="preserve">comme le confirment les études réalisées par Thomas Piketty, Emmanuel </w:t>
        </w:r>
        <w:proofErr w:type="spellStart"/>
        <w:r w:rsidR="00294AFD" w:rsidRPr="00AF57F8">
          <w:rPr>
            <w:rFonts w:ascii="Georgia" w:hAnsi="Georgia" w:cs="Georgia"/>
            <w:bCs/>
            <w:sz w:val="16"/>
            <w:szCs w:val="16"/>
          </w:rPr>
          <w:t>Saez</w:t>
        </w:r>
        <w:proofErr w:type="spellEnd"/>
        <w:r w:rsidR="00294AFD" w:rsidRPr="00AF57F8">
          <w:rPr>
            <w:rFonts w:ascii="Georgia" w:hAnsi="Georgia" w:cs="Georgia"/>
            <w:bCs/>
            <w:sz w:val="16"/>
            <w:szCs w:val="16"/>
          </w:rPr>
          <w:t xml:space="preserve"> et Camille Landais, qui sensibilisent l’opinion à cette question</w:t>
        </w:r>
      </w:hyperlink>
      <w:r w:rsidR="00294AFD" w:rsidRPr="00AF57F8">
        <w:rPr>
          <w:rFonts w:ascii="Georgia" w:hAnsi="Georgia" w:cs="Georgia"/>
          <w:sz w:val="16"/>
          <w:szCs w:val="16"/>
        </w:rPr>
        <w:t>.</w:t>
      </w:r>
    </w:p>
    <w:p w:rsidR="005C3697" w:rsidRPr="00AF57F8" w:rsidRDefault="00294AFD" w:rsidP="00294AFD">
      <w:pPr>
        <w:rPr>
          <w:rFonts w:ascii="Georgia" w:hAnsi="Georgia" w:cs="Georgia"/>
          <w:sz w:val="16"/>
          <w:szCs w:val="16"/>
        </w:rPr>
      </w:pPr>
      <w:r w:rsidRPr="00AF57F8">
        <w:rPr>
          <w:rFonts w:ascii="Georgia" w:hAnsi="Georgia" w:cs="Georgia"/>
          <w:sz w:val="16"/>
          <w:szCs w:val="16"/>
        </w:rPr>
        <w:t xml:space="preserve">Bref, il est difficile de ne pas voir dans la situation actuelle </w:t>
      </w:r>
      <w:hyperlink r:id="rId13" w:history="1">
        <w:r w:rsidRPr="00AF57F8">
          <w:rPr>
            <w:rFonts w:ascii="Georgia" w:hAnsi="Georgia" w:cs="Georgia"/>
            <w:bCs/>
            <w:sz w:val="16"/>
            <w:szCs w:val="16"/>
          </w:rPr>
          <w:t>une redite de l’avant 2008</w:t>
        </w:r>
      </w:hyperlink>
      <w:r w:rsidRPr="00AF57F8">
        <w:rPr>
          <w:rFonts w:ascii="Georgia" w:hAnsi="Georgia" w:cs="Georgia"/>
          <w:sz w:val="16"/>
          <w:szCs w:val="16"/>
        </w:rPr>
        <w:t xml:space="preserve">. Mais avec la baisse de l’euro et du pétrole, nous ne serions sans doute pas au plus haut de la bulle, mais dans la période d’avant, où tous les mécanismes qui nous avaient </w:t>
      </w:r>
      <w:proofErr w:type="gramStart"/>
      <w:r w:rsidRPr="00AF57F8">
        <w:rPr>
          <w:rFonts w:ascii="Georgia" w:hAnsi="Georgia" w:cs="Georgia"/>
          <w:sz w:val="16"/>
          <w:szCs w:val="16"/>
        </w:rPr>
        <w:t>mené</w:t>
      </w:r>
      <w:proofErr w:type="gramEnd"/>
      <w:r w:rsidRPr="00AF57F8">
        <w:rPr>
          <w:rFonts w:ascii="Georgia" w:hAnsi="Georgia" w:cs="Georgia"/>
          <w:sz w:val="16"/>
          <w:szCs w:val="16"/>
        </w:rPr>
        <w:t xml:space="preserve"> au krach se répètent</w:t>
      </w:r>
      <w:r w:rsidR="00F21AEF" w:rsidRPr="00AF57F8">
        <w:rPr>
          <w:rFonts w:ascii="Georgia" w:hAnsi="Georgia" w:cs="Georgia"/>
          <w:sz w:val="16"/>
          <w:szCs w:val="16"/>
        </w:rPr>
        <w:t>.</w:t>
      </w:r>
    </w:p>
    <w:p w:rsidR="00F21AEF" w:rsidRPr="00AF57F8" w:rsidRDefault="00F21AEF" w:rsidP="00294AFD">
      <w:pPr>
        <w:rPr>
          <w:rFonts w:ascii="Georgia" w:hAnsi="Georgia" w:cs="Georgia"/>
          <w:sz w:val="16"/>
          <w:szCs w:val="16"/>
        </w:rPr>
      </w:pPr>
    </w:p>
    <w:p w:rsidR="00F21AEF" w:rsidRPr="00AF57F8" w:rsidRDefault="00F21AEF" w:rsidP="00294AFD">
      <w:pPr>
        <w:rPr>
          <w:rFonts w:ascii="Georgia" w:hAnsi="Georgia" w:cs="Georgia"/>
          <w:sz w:val="16"/>
          <w:szCs w:val="16"/>
        </w:rPr>
      </w:pPr>
      <w:r w:rsidRPr="00AF57F8">
        <w:rPr>
          <w:rFonts w:ascii="Georgia" w:hAnsi="Georgia" w:cs="Georgia"/>
          <w:sz w:val="16"/>
          <w:szCs w:val="16"/>
        </w:rPr>
        <w:t>Futur clodo, a bientôt.</w:t>
      </w:r>
    </w:p>
    <w:p w:rsidR="00F21AEF" w:rsidRPr="00AF57F8" w:rsidRDefault="00F21AEF" w:rsidP="00294AFD">
      <w:pPr>
        <w:rPr>
          <w:sz w:val="16"/>
          <w:szCs w:val="16"/>
        </w:rPr>
      </w:pPr>
      <w:r w:rsidRPr="00AF57F8">
        <w:rPr>
          <w:rFonts w:ascii="Georgia" w:hAnsi="Georgia" w:cs="Georgia"/>
          <w:sz w:val="16"/>
          <w:szCs w:val="16"/>
        </w:rPr>
        <w:t>Et grosse bise numérique.</w:t>
      </w:r>
      <w:bookmarkEnd w:id="0"/>
    </w:p>
    <w:sectPr w:rsidR="00F21AEF" w:rsidRPr="00AF57F8"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294AFD"/>
    <w:rsid w:val="00294AFD"/>
    <w:rsid w:val="004D7B50"/>
    <w:rsid w:val="005C3697"/>
    <w:rsid w:val="008107E3"/>
    <w:rsid w:val="00AF57F8"/>
    <w:rsid w:val="00D420BA"/>
    <w:rsid w:val="00F21A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0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A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A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4AF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4AF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ffaires.lapresse.ca/resultats-financiers/201501/16/01-4835773-goldman-sachs-benefices-meilleurs-que-prevu.php" TargetMode="External"/><Relationship Id="rId13" Type="http://schemas.openxmlformats.org/officeDocument/2006/relationships/hyperlink" Target="http://www.gaullistelibre.com/2012/03/la-crise-de-lanarchie-neoliberale.html" TargetMode="External"/><Relationship Id="rId3" Type="http://schemas.openxmlformats.org/officeDocument/2006/relationships/webSettings" Target="webSettings.xml"/><Relationship Id="rId7" Type="http://schemas.openxmlformats.org/officeDocument/2006/relationships/hyperlink" Target="http://www.gaullistelibre.com/2012/03/la-crise-de-lanarchie-neoliberale.html" TargetMode="External"/><Relationship Id="rId12" Type="http://schemas.openxmlformats.org/officeDocument/2006/relationships/hyperlink" Target="http://www.gaullistelibre.com/2014/08/le-debat-sur-les-inegalites-progresse.html"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mandie.com/news/Le-Congres-americain-engage-une-dereglementation-de-Wall-Street_RP/554677.rom" TargetMode="External"/><Relationship Id="rId11" Type="http://schemas.openxmlformats.org/officeDocument/2006/relationships/hyperlink" Target="http://www.lemonde.fr/economie/article/2015/01/19/les-1-les-plus-riches-possederont-bientot-la-moitie-de-la-richesse-mondiale_4558585_3234.html" TargetMode="External"/><Relationship Id="rId5" Type="http://schemas.openxmlformats.org/officeDocument/2006/relationships/hyperlink" Target="http://www.agefi.fr/articles/le-secteur-financier-porte-les-revenus-des-banques-d-investissement-1343498.html" TargetMode="External"/><Relationship Id="rId15" Type="http://schemas.openxmlformats.org/officeDocument/2006/relationships/theme" Target="theme/theme1.xml"/><Relationship Id="rId10" Type="http://schemas.openxmlformats.org/officeDocument/2006/relationships/hyperlink" Target="http://www.lemonde.fr/economie/article/2015/01/19/les-1-les-plus-riches-possederont-bientot-la-moitie-de-la-richesse-mondiale_4558585_3234.html" TargetMode="External"/><Relationship Id="rId4" Type="http://schemas.openxmlformats.org/officeDocument/2006/relationships/hyperlink" Target="http://www.lemonde.fr/economie/article/2015/01/19/les-1-les-plus-riches-possederont-bientot-la-moitie-de-la-richesse-mondiale_4558585_3234.html" TargetMode="External"/><Relationship Id="rId9" Type="http://schemas.openxmlformats.org/officeDocument/2006/relationships/hyperlink" Target="http://www.agefi.fr/articles/le-secteur-financier-porte-les-revenus-des-banques-d-investissement-1343498.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517</Words>
  <Characters>2846</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2015-01-21T11:16:00Z</dcterms:created>
  <dcterms:modified xsi:type="dcterms:W3CDTF">2015-08-04T10:05:00Z</dcterms:modified>
</cp:coreProperties>
</file>