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EFB" w:rsidRPr="00916D5F" w:rsidRDefault="00071EFB">
      <w:pPr>
        <w:rPr>
          <w:rFonts w:ascii="Helvetica" w:hAnsi="Helvetica" w:cs="Helvetica"/>
          <w:color w:val="1C1C1C"/>
          <w:sz w:val="16"/>
          <w:szCs w:val="16"/>
        </w:rPr>
      </w:pPr>
      <w:bookmarkStart w:id="0" w:name="_GoBack"/>
    </w:p>
    <w:p w:rsidR="00071EFB" w:rsidRPr="00916D5F" w:rsidRDefault="00071EFB">
      <w:pPr>
        <w:rPr>
          <w:rFonts w:ascii="Helvetica" w:hAnsi="Helvetica" w:cs="Helvetica"/>
          <w:color w:val="1C1C1C"/>
          <w:sz w:val="16"/>
          <w:szCs w:val="16"/>
        </w:rPr>
      </w:pPr>
    </w:p>
    <w:p w:rsidR="005C3697" w:rsidRPr="00916D5F" w:rsidRDefault="00E9479A">
      <w:pPr>
        <w:rPr>
          <w:rFonts w:ascii="Helvetica" w:hAnsi="Helvetica" w:cs="Helvetica"/>
          <w:color w:val="1C1C1C"/>
          <w:sz w:val="16"/>
          <w:szCs w:val="16"/>
        </w:rPr>
      </w:pPr>
      <w:r w:rsidRPr="00916D5F">
        <w:rPr>
          <w:rFonts w:ascii="Helvetica" w:hAnsi="Helvetica" w:cs="Helvetica"/>
          <w:color w:val="1C1C1C"/>
          <w:sz w:val="16"/>
          <w:szCs w:val="16"/>
        </w:rPr>
        <w:t>L’</w:t>
      </w:r>
      <w:r w:rsidRPr="00916D5F">
        <w:rPr>
          <w:rFonts w:ascii="Helvetica" w:hAnsi="Helvetica" w:cs="Helvetica"/>
          <w:b/>
          <w:bCs/>
          <w:color w:val="1C1C1C"/>
          <w:sz w:val="16"/>
          <w:szCs w:val="16"/>
        </w:rPr>
        <w:t>intelligence sociale</w:t>
      </w:r>
      <w:r w:rsidRPr="00916D5F">
        <w:rPr>
          <w:rFonts w:ascii="Helvetica" w:hAnsi="Helvetica" w:cs="Helvetica"/>
          <w:color w:val="1C1C1C"/>
          <w:sz w:val="16"/>
          <w:szCs w:val="16"/>
        </w:rPr>
        <w:t xml:space="preserve"> ou </w:t>
      </w:r>
      <w:r w:rsidRPr="00916D5F">
        <w:rPr>
          <w:rFonts w:ascii="Helvetica" w:hAnsi="Helvetica" w:cs="Helvetica"/>
          <w:b/>
          <w:bCs/>
          <w:color w:val="1C1C1C"/>
          <w:sz w:val="16"/>
          <w:szCs w:val="16"/>
        </w:rPr>
        <w:t>intelligence interpersonnelle</w:t>
      </w:r>
      <w:r w:rsidRPr="00916D5F">
        <w:rPr>
          <w:rFonts w:ascii="Helvetica" w:hAnsi="Helvetica" w:cs="Helvetica"/>
          <w:color w:val="1C1C1C"/>
          <w:sz w:val="16"/>
          <w:szCs w:val="16"/>
        </w:rPr>
        <w:t xml:space="preserve"> est la forme d’intelligence qui permet de comprendre autrui (ses pensées, ses sentiments) et d’agir efficacement sur lui (obtenir son adhésion, modifier son comportement) en situation d’interaction sociale. Sa mise en évidence est généralement attribuée à </w:t>
      </w:r>
      <w:hyperlink r:id="rId5" w:history="1">
        <w:r w:rsidRPr="00916D5F">
          <w:rPr>
            <w:rFonts w:ascii="Helvetica" w:hAnsi="Helvetica" w:cs="Helvetica"/>
            <w:color w:val="092F9D"/>
            <w:sz w:val="16"/>
            <w:szCs w:val="16"/>
          </w:rPr>
          <w:t>Howard Gardner</w:t>
        </w:r>
      </w:hyperlink>
      <w:r w:rsidRPr="00916D5F">
        <w:rPr>
          <w:rFonts w:ascii="Helvetica" w:hAnsi="Helvetica" w:cs="Helvetica"/>
          <w:color w:val="1C1C1C"/>
          <w:sz w:val="16"/>
          <w:szCs w:val="16"/>
        </w:rPr>
        <w:t xml:space="preserve">, auteur de la </w:t>
      </w:r>
      <w:hyperlink r:id="rId6" w:history="1">
        <w:r w:rsidRPr="00916D5F">
          <w:rPr>
            <w:rFonts w:ascii="Helvetica" w:hAnsi="Helvetica" w:cs="Helvetica"/>
            <w:color w:val="092F9D"/>
            <w:sz w:val="16"/>
            <w:szCs w:val="16"/>
          </w:rPr>
          <w:t>Théorie des intelligences multiples</w:t>
        </w:r>
      </w:hyperlink>
      <w:r w:rsidRPr="00916D5F">
        <w:rPr>
          <w:rFonts w:ascii="Helvetica" w:hAnsi="Helvetica" w:cs="Helvetica"/>
          <w:color w:val="092F9D"/>
          <w:sz w:val="16"/>
          <w:szCs w:val="16"/>
        </w:rPr>
        <w:t>1</w:t>
      </w:r>
      <w:r w:rsidRPr="00916D5F">
        <w:rPr>
          <w:rFonts w:ascii="Helvetica" w:hAnsi="Helvetica" w:cs="Helvetica"/>
          <w:color w:val="1C1C1C"/>
          <w:sz w:val="16"/>
          <w:szCs w:val="16"/>
        </w:rPr>
        <w:t xml:space="preserve">. Elle a été reprise en France par </w:t>
      </w:r>
      <w:hyperlink r:id="rId7" w:history="1">
        <w:r w:rsidRPr="00916D5F">
          <w:rPr>
            <w:rFonts w:ascii="Helvetica" w:hAnsi="Helvetica" w:cs="Helvetica"/>
            <w:color w:val="092F9D"/>
            <w:sz w:val="16"/>
            <w:szCs w:val="16"/>
          </w:rPr>
          <w:t>René</w:t>
        </w:r>
      </w:hyperlink>
    </w:p>
    <w:p w:rsidR="00E9479A" w:rsidRPr="00916D5F" w:rsidRDefault="00E9479A">
      <w:pPr>
        <w:rPr>
          <w:rFonts w:ascii="Helvetica" w:hAnsi="Helvetica" w:cs="Helvetica"/>
          <w:color w:val="1C1C1C"/>
          <w:sz w:val="16"/>
          <w:szCs w:val="16"/>
        </w:rPr>
      </w:pPr>
      <w:r w:rsidRPr="00916D5F">
        <w:rPr>
          <w:rFonts w:ascii="Helvetica" w:hAnsi="Helvetica" w:cs="Helvetica"/>
          <w:color w:val="1C1C1C"/>
          <w:sz w:val="16"/>
          <w:szCs w:val="16"/>
        </w:rPr>
        <w:t xml:space="preserve">Le </w:t>
      </w:r>
      <w:r w:rsidRPr="00916D5F">
        <w:rPr>
          <w:rFonts w:ascii="Helvetica" w:hAnsi="Helvetica" w:cs="Helvetica"/>
          <w:b/>
          <w:bCs/>
          <w:color w:val="1C1C1C"/>
          <w:sz w:val="16"/>
          <w:szCs w:val="16"/>
        </w:rPr>
        <w:t>développement durable</w:t>
      </w:r>
      <w:r w:rsidRPr="00916D5F">
        <w:rPr>
          <w:rFonts w:ascii="Helvetica" w:hAnsi="Helvetica" w:cs="Helvetica"/>
          <w:color w:val="1C1C1C"/>
          <w:sz w:val="16"/>
          <w:szCs w:val="16"/>
        </w:rPr>
        <w:t xml:space="preserve"> (</w:t>
      </w:r>
      <w:hyperlink r:id="rId8" w:history="1">
        <w:r w:rsidRPr="00916D5F">
          <w:rPr>
            <w:rFonts w:ascii="Helvetica" w:hAnsi="Helvetica" w:cs="Helvetica"/>
            <w:color w:val="092F9D"/>
            <w:sz w:val="16"/>
            <w:szCs w:val="16"/>
          </w:rPr>
          <w:t>anglais</w:t>
        </w:r>
      </w:hyperlink>
      <w:r w:rsidRPr="00916D5F">
        <w:rPr>
          <w:rFonts w:ascii="Helvetica" w:hAnsi="Helvetica" w:cs="Helvetica"/>
          <w:color w:val="1C1C1C"/>
          <w:sz w:val="16"/>
          <w:szCs w:val="16"/>
        </w:rPr>
        <w:t> : </w:t>
      </w:r>
      <w:proofErr w:type="spellStart"/>
      <w:r w:rsidRPr="00916D5F">
        <w:rPr>
          <w:rFonts w:ascii="Helvetica" w:hAnsi="Helvetica" w:cs="Helvetica"/>
          <w:i/>
          <w:iCs/>
          <w:color w:val="1C1C1C"/>
          <w:sz w:val="16"/>
          <w:szCs w:val="16"/>
        </w:rPr>
        <w:t>sustainabledevelopment</w:t>
      </w:r>
      <w:proofErr w:type="spellEnd"/>
      <w:r w:rsidRPr="00916D5F">
        <w:rPr>
          <w:rFonts w:ascii="Helvetica" w:hAnsi="Helvetica" w:cs="Helvetica"/>
          <w:color w:val="1C1C1C"/>
          <w:sz w:val="16"/>
          <w:szCs w:val="16"/>
        </w:rPr>
        <w:t xml:space="preserve"> qui peut aussi être traduit en </w:t>
      </w:r>
      <w:hyperlink r:id="rId9" w:history="1">
        <w:r w:rsidRPr="00916D5F">
          <w:rPr>
            <w:rFonts w:ascii="Helvetica" w:hAnsi="Helvetica" w:cs="Helvetica"/>
            <w:color w:val="092F9D"/>
            <w:sz w:val="16"/>
            <w:szCs w:val="16"/>
          </w:rPr>
          <w:t>français</w:t>
        </w:r>
      </w:hyperlink>
      <w:r w:rsidRPr="00916D5F">
        <w:rPr>
          <w:rFonts w:ascii="Helvetica" w:hAnsi="Helvetica" w:cs="Helvetica"/>
          <w:color w:val="1C1C1C"/>
          <w:sz w:val="16"/>
          <w:szCs w:val="16"/>
        </w:rPr>
        <w:t xml:space="preserve"> par </w:t>
      </w:r>
      <w:r w:rsidRPr="00916D5F">
        <w:rPr>
          <w:rFonts w:ascii="Helvetica" w:hAnsi="Helvetica" w:cs="Helvetica"/>
          <w:b/>
          <w:bCs/>
          <w:color w:val="1C1C1C"/>
          <w:sz w:val="16"/>
          <w:szCs w:val="16"/>
        </w:rPr>
        <w:t>développement soutenable</w:t>
      </w:r>
      <w:r w:rsidRPr="00916D5F">
        <w:rPr>
          <w:rFonts w:ascii="Helvetica" w:hAnsi="Helvetica" w:cs="Helvetica"/>
          <w:color w:val="1C1C1C"/>
          <w:sz w:val="16"/>
          <w:szCs w:val="16"/>
        </w:rPr>
        <w:t xml:space="preserve">) est une conception du </w:t>
      </w:r>
      <w:hyperlink r:id="rId10" w:history="1">
        <w:r w:rsidRPr="00916D5F">
          <w:rPr>
            <w:rFonts w:ascii="Helvetica" w:hAnsi="Helvetica" w:cs="Helvetica"/>
            <w:color w:val="092F9D"/>
            <w:sz w:val="16"/>
            <w:szCs w:val="16"/>
          </w:rPr>
          <w:t>bien commun</w:t>
        </w:r>
      </w:hyperlink>
      <w:r w:rsidRPr="00916D5F">
        <w:rPr>
          <w:rFonts w:ascii="Helvetica" w:hAnsi="Helvetica" w:cs="Helvetica"/>
          <w:color w:val="1C1C1C"/>
          <w:sz w:val="16"/>
          <w:szCs w:val="16"/>
        </w:rPr>
        <w:t xml:space="preserve"> développée depuis la fin du </w:t>
      </w:r>
      <w:proofErr w:type="spellStart"/>
      <w:r w:rsidRPr="00916D5F">
        <w:rPr>
          <w:rFonts w:ascii="Helvetica" w:hAnsi="Helvetica" w:cs="Helvetica"/>
          <w:color w:val="1C1C1C"/>
          <w:sz w:val="16"/>
          <w:szCs w:val="16"/>
        </w:rPr>
        <w:t>xx</w:t>
      </w:r>
      <w:r w:rsidRPr="00916D5F">
        <w:rPr>
          <w:rFonts w:ascii="Helvetica" w:hAnsi="Helvetica" w:cs="Helvetica"/>
          <w:color w:val="1C1C1C"/>
          <w:sz w:val="16"/>
          <w:szCs w:val="16"/>
          <w:vertAlign w:val="superscript"/>
        </w:rPr>
        <w:t>e</w:t>
      </w:r>
      <w:proofErr w:type="spellEnd"/>
      <w:r w:rsidRPr="00916D5F">
        <w:rPr>
          <w:rFonts w:ascii="Helvetica" w:hAnsi="Helvetica" w:cs="Helvetica"/>
          <w:color w:val="1C1C1C"/>
          <w:sz w:val="16"/>
          <w:szCs w:val="16"/>
        </w:rPr>
        <w:t xml:space="preserve"> siècle. Considérée à l'échelle de la </w:t>
      </w:r>
      <w:hyperlink r:id="rId11" w:history="1">
        <w:r w:rsidRPr="00916D5F">
          <w:rPr>
            <w:rFonts w:ascii="Helvetica" w:hAnsi="Helvetica" w:cs="Helvetica"/>
            <w:color w:val="092F9D"/>
            <w:sz w:val="16"/>
            <w:szCs w:val="16"/>
          </w:rPr>
          <w:t>planète</w:t>
        </w:r>
      </w:hyperlink>
      <w:r w:rsidRPr="00916D5F">
        <w:rPr>
          <w:rFonts w:ascii="Helvetica" w:hAnsi="Helvetica" w:cs="Helvetica"/>
          <w:color w:val="1C1C1C"/>
          <w:sz w:val="16"/>
          <w:szCs w:val="16"/>
        </w:rPr>
        <w:t xml:space="preserve">, cette notion vise à prendre en compte, outre l'économie, les </w:t>
      </w:r>
      <w:hyperlink r:id="rId12" w:history="1">
        <w:r w:rsidRPr="00916D5F">
          <w:rPr>
            <w:rFonts w:ascii="Helvetica" w:hAnsi="Helvetica" w:cs="Helvetica"/>
            <w:color w:val="092F9D"/>
            <w:sz w:val="16"/>
            <w:szCs w:val="16"/>
          </w:rPr>
          <w:t>aspects environnementaux</w:t>
        </w:r>
      </w:hyperlink>
      <w:r w:rsidRPr="00916D5F">
        <w:rPr>
          <w:rFonts w:ascii="Helvetica" w:hAnsi="Helvetica" w:cs="Helvetica"/>
          <w:color w:val="1C1C1C"/>
          <w:sz w:val="16"/>
          <w:szCs w:val="16"/>
        </w:rPr>
        <w:t xml:space="preserve"> et </w:t>
      </w:r>
      <w:hyperlink r:id="rId13" w:history="1">
        <w:r w:rsidRPr="00916D5F">
          <w:rPr>
            <w:rFonts w:ascii="Helvetica" w:hAnsi="Helvetica" w:cs="Helvetica"/>
            <w:color w:val="092F9D"/>
            <w:sz w:val="16"/>
            <w:szCs w:val="16"/>
          </w:rPr>
          <w:t>sociaux</w:t>
        </w:r>
      </w:hyperlink>
      <w:r w:rsidRPr="00916D5F">
        <w:rPr>
          <w:rFonts w:ascii="Helvetica" w:hAnsi="Helvetica" w:cs="Helvetica"/>
          <w:color w:val="1C1C1C"/>
          <w:sz w:val="16"/>
          <w:szCs w:val="16"/>
        </w:rPr>
        <w:t xml:space="preserve"> qui sont liés à des enjeux de </w:t>
      </w:r>
      <w:hyperlink r:id="rId14" w:history="1">
        <w:r w:rsidRPr="00916D5F">
          <w:rPr>
            <w:rFonts w:ascii="Helvetica" w:hAnsi="Helvetica" w:cs="Helvetica"/>
            <w:color w:val="092F9D"/>
            <w:sz w:val="16"/>
            <w:szCs w:val="16"/>
          </w:rPr>
          <w:t>long terme</w:t>
        </w:r>
      </w:hyperlink>
      <w:r w:rsidRPr="00916D5F">
        <w:rPr>
          <w:rFonts w:ascii="Helvetica" w:hAnsi="Helvetica" w:cs="Helvetica"/>
          <w:color w:val="1C1C1C"/>
          <w:sz w:val="16"/>
          <w:szCs w:val="16"/>
        </w:rPr>
        <w:t xml:space="preserve">. Selon la définition donnée dans le </w:t>
      </w:r>
      <w:hyperlink r:id="rId15" w:history="1">
        <w:r w:rsidRPr="00916D5F">
          <w:rPr>
            <w:rFonts w:ascii="Helvetica" w:hAnsi="Helvetica" w:cs="Helvetica"/>
            <w:color w:val="092F9D"/>
            <w:sz w:val="16"/>
            <w:szCs w:val="16"/>
          </w:rPr>
          <w:t>rapport Brundtland</w:t>
        </w:r>
      </w:hyperlink>
      <w:r w:rsidRPr="00916D5F">
        <w:rPr>
          <w:rFonts w:ascii="Helvetica" w:hAnsi="Helvetica" w:cs="Helvetica"/>
          <w:color w:val="1C1C1C"/>
          <w:sz w:val="16"/>
          <w:szCs w:val="16"/>
        </w:rPr>
        <w:t xml:space="preserve"> en </w:t>
      </w:r>
      <w:hyperlink r:id="rId16" w:history="1">
        <w:r w:rsidRPr="00916D5F">
          <w:rPr>
            <w:rFonts w:ascii="Helvetica" w:hAnsi="Helvetica" w:cs="Helvetica"/>
            <w:color w:val="092F9D"/>
            <w:sz w:val="16"/>
            <w:szCs w:val="16"/>
          </w:rPr>
          <w:t>1987</w:t>
        </w:r>
      </w:hyperlink>
      <w:r w:rsidRPr="00916D5F">
        <w:rPr>
          <w:rFonts w:ascii="Helvetica" w:hAnsi="Helvetica" w:cs="Helvetica"/>
          <w:color w:val="1C1C1C"/>
          <w:sz w:val="16"/>
          <w:szCs w:val="16"/>
        </w:rPr>
        <w:t xml:space="preserve">, le développement durable est un développement qui répond aux besoins du présent sans compromettre la capacité des </w:t>
      </w:r>
      <w:hyperlink r:id="rId17" w:history="1">
        <w:r w:rsidRPr="00916D5F">
          <w:rPr>
            <w:rFonts w:ascii="Helvetica" w:hAnsi="Helvetica" w:cs="Helvetica"/>
            <w:color w:val="092F9D"/>
            <w:sz w:val="16"/>
            <w:szCs w:val="16"/>
          </w:rPr>
          <w:t>générations futures</w:t>
        </w:r>
      </w:hyperlink>
      <w:r w:rsidRPr="00916D5F">
        <w:rPr>
          <w:rFonts w:ascii="Helvetica" w:hAnsi="Helvetica" w:cs="Helvetica"/>
          <w:color w:val="1C1C1C"/>
          <w:sz w:val="16"/>
          <w:szCs w:val="16"/>
        </w:rPr>
        <w:t xml:space="preserve"> à répondre à leurs propres besoins.</w:t>
      </w:r>
    </w:p>
    <w:p w:rsidR="00E9479A" w:rsidRPr="00916D5F" w:rsidRDefault="00E9479A" w:rsidP="00E9479A">
      <w:pPr>
        <w:widowControl w:val="0"/>
        <w:autoSpaceDE w:val="0"/>
        <w:autoSpaceDN w:val="0"/>
        <w:adjustRightInd w:val="0"/>
        <w:rPr>
          <w:rFonts w:ascii="Helvetica" w:hAnsi="Helvetica" w:cs="Helvetica"/>
          <w:color w:val="1C1C1C"/>
          <w:sz w:val="16"/>
          <w:szCs w:val="16"/>
        </w:rPr>
      </w:pPr>
      <w:r w:rsidRPr="00916D5F">
        <w:rPr>
          <w:rFonts w:ascii="Helvetica" w:hAnsi="Helvetica" w:cs="Helvetica"/>
          <w:color w:val="1C1C1C"/>
          <w:sz w:val="16"/>
          <w:szCs w:val="16"/>
        </w:rPr>
        <w:t xml:space="preserve">La </w:t>
      </w:r>
      <w:r w:rsidRPr="00916D5F">
        <w:rPr>
          <w:rFonts w:ascii="Helvetica" w:hAnsi="Helvetica" w:cs="Helvetica"/>
          <w:b/>
          <w:bCs/>
          <w:color w:val="1C1C1C"/>
          <w:sz w:val="16"/>
          <w:szCs w:val="16"/>
        </w:rPr>
        <w:t>sociologie de l'art</w:t>
      </w:r>
      <w:r w:rsidRPr="00916D5F">
        <w:rPr>
          <w:rFonts w:ascii="Helvetica" w:hAnsi="Helvetica" w:cs="Helvetica"/>
          <w:color w:val="1C1C1C"/>
          <w:sz w:val="16"/>
          <w:szCs w:val="16"/>
        </w:rPr>
        <w:t xml:space="preserve"> est une des branches de la </w:t>
      </w:r>
      <w:hyperlink r:id="rId18" w:history="1">
        <w:r w:rsidRPr="00916D5F">
          <w:rPr>
            <w:rFonts w:ascii="Helvetica" w:hAnsi="Helvetica" w:cs="Helvetica"/>
            <w:color w:val="092F9D"/>
            <w:sz w:val="16"/>
            <w:szCs w:val="16"/>
          </w:rPr>
          <w:t>sociologie</w:t>
        </w:r>
      </w:hyperlink>
      <w:r w:rsidRPr="00916D5F">
        <w:rPr>
          <w:rFonts w:ascii="Helvetica" w:hAnsi="Helvetica" w:cs="Helvetica"/>
          <w:color w:val="1C1C1C"/>
          <w:sz w:val="16"/>
          <w:szCs w:val="16"/>
        </w:rPr>
        <w:t xml:space="preserve"> qui présente deux approches : d'une part elle étudie les </w:t>
      </w:r>
      <w:hyperlink r:id="rId19" w:history="1">
        <w:r w:rsidRPr="00916D5F">
          <w:rPr>
            <w:rFonts w:ascii="Helvetica" w:hAnsi="Helvetica" w:cs="Helvetica"/>
            <w:color w:val="092F9D"/>
            <w:sz w:val="16"/>
            <w:szCs w:val="16"/>
          </w:rPr>
          <w:t>arts</w:t>
        </w:r>
      </w:hyperlink>
      <w:r w:rsidRPr="00916D5F">
        <w:rPr>
          <w:rFonts w:ascii="Helvetica" w:hAnsi="Helvetica" w:cs="Helvetica"/>
          <w:color w:val="1C1C1C"/>
          <w:sz w:val="16"/>
          <w:szCs w:val="16"/>
        </w:rPr>
        <w:t xml:space="preserve"> ordinaires en tant qu'activités ou langages ayant une dimension esthétique dans la vie sociale (costumes, décoration, architecture, cuisine, édition, musiques, publicités, etc.), d'autre part elle étudie l'activité et le monde spécifiques des </w:t>
      </w:r>
      <w:hyperlink r:id="rId20" w:history="1">
        <w:r w:rsidRPr="00916D5F">
          <w:rPr>
            <w:rFonts w:ascii="Helvetica" w:hAnsi="Helvetica" w:cs="Helvetica"/>
            <w:color w:val="092F9D"/>
            <w:sz w:val="16"/>
            <w:szCs w:val="16"/>
          </w:rPr>
          <w:t>artistes</w:t>
        </w:r>
      </w:hyperlink>
      <w:r w:rsidRPr="00916D5F">
        <w:rPr>
          <w:rFonts w:ascii="Helvetica" w:hAnsi="Helvetica" w:cs="Helvetica"/>
          <w:color w:val="1C1C1C"/>
          <w:sz w:val="16"/>
          <w:szCs w:val="16"/>
        </w:rPr>
        <w:t xml:space="preserve"> (milieu des artistes, instances de sélection et de promotion, réception des </w:t>
      </w:r>
      <w:hyperlink r:id="rId21" w:history="1">
        <w:r w:rsidRPr="00916D5F">
          <w:rPr>
            <w:rFonts w:ascii="Helvetica" w:hAnsi="Helvetica" w:cs="Helvetica"/>
            <w:color w:val="092F9D"/>
            <w:sz w:val="16"/>
            <w:szCs w:val="16"/>
          </w:rPr>
          <w:t>œuvres d'art</w:t>
        </w:r>
      </w:hyperlink>
      <w:r w:rsidRPr="00916D5F">
        <w:rPr>
          <w:rFonts w:ascii="Helvetica" w:hAnsi="Helvetica" w:cs="Helvetica"/>
          <w:color w:val="1C1C1C"/>
          <w:sz w:val="16"/>
          <w:szCs w:val="16"/>
        </w:rPr>
        <w:t xml:space="preserve"> ou des </w:t>
      </w:r>
      <w:hyperlink r:id="rId22" w:history="1">
        <w:r w:rsidRPr="00916D5F">
          <w:rPr>
            <w:rFonts w:ascii="Helvetica" w:hAnsi="Helvetica" w:cs="Helvetica"/>
            <w:color w:val="092F9D"/>
            <w:sz w:val="16"/>
            <w:szCs w:val="16"/>
          </w:rPr>
          <w:t>mouvements artistiques</w:t>
        </w:r>
      </w:hyperlink>
      <w:r w:rsidRPr="00916D5F">
        <w:rPr>
          <w:rFonts w:ascii="Helvetica" w:hAnsi="Helvetica" w:cs="Helvetica"/>
          <w:color w:val="1C1C1C"/>
          <w:sz w:val="16"/>
          <w:szCs w:val="16"/>
        </w:rPr>
        <w:t>, diffusion, consommation...).</w:t>
      </w:r>
    </w:p>
    <w:p w:rsidR="00E9479A" w:rsidRPr="00916D5F" w:rsidRDefault="00E9479A" w:rsidP="00E9479A">
      <w:pPr>
        <w:widowControl w:val="0"/>
        <w:autoSpaceDE w:val="0"/>
        <w:autoSpaceDN w:val="0"/>
        <w:adjustRightInd w:val="0"/>
        <w:rPr>
          <w:rFonts w:ascii="Helvetica" w:hAnsi="Helvetica" w:cs="Helvetica"/>
          <w:color w:val="1C1C1C"/>
          <w:sz w:val="16"/>
          <w:szCs w:val="16"/>
        </w:rPr>
      </w:pPr>
      <w:r w:rsidRPr="00916D5F">
        <w:rPr>
          <w:rFonts w:ascii="Helvetica" w:hAnsi="Helvetica" w:cs="Helvetica"/>
          <w:color w:val="1C1C1C"/>
          <w:sz w:val="16"/>
          <w:szCs w:val="16"/>
        </w:rPr>
        <w:t xml:space="preserve">La première sociologie, qui étudie l'art comme dimension de la vie sociale commune à tous les milieux sociaux, est actuellement délaissée par les sociologues au profit des ethnologues, des archéologues et des </w:t>
      </w:r>
      <w:hyperlink r:id="rId23" w:history="1">
        <w:r w:rsidRPr="00916D5F">
          <w:rPr>
            <w:rFonts w:ascii="Helvetica" w:hAnsi="Helvetica" w:cs="Helvetica"/>
            <w:color w:val="092F9D"/>
            <w:sz w:val="16"/>
            <w:szCs w:val="16"/>
          </w:rPr>
          <w:t>historiens de l'art</w:t>
        </w:r>
      </w:hyperlink>
      <w:r w:rsidRPr="00916D5F">
        <w:rPr>
          <w:rFonts w:ascii="Helvetica" w:hAnsi="Helvetica" w:cs="Helvetica"/>
          <w:color w:val="1C1C1C"/>
          <w:sz w:val="16"/>
          <w:szCs w:val="16"/>
        </w:rPr>
        <w:t>.</w:t>
      </w:r>
    </w:p>
    <w:p w:rsidR="00E9479A" w:rsidRPr="00916D5F" w:rsidRDefault="00E9479A" w:rsidP="00E9479A">
      <w:pPr>
        <w:widowControl w:val="0"/>
        <w:autoSpaceDE w:val="0"/>
        <w:autoSpaceDN w:val="0"/>
        <w:adjustRightInd w:val="0"/>
        <w:rPr>
          <w:rFonts w:ascii="Helvetica" w:hAnsi="Helvetica" w:cs="Helvetica"/>
          <w:color w:val="1C1C1C"/>
          <w:sz w:val="16"/>
          <w:szCs w:val="16"/>
        </w:rPr>
      </w:pPr>
      <w:r w:rsidRPr="00916D5F">
        <w:rPr>
          <w:rFonts w:ascii="Helvetica" w:hAnsi="Helvetica" w:cs="Helvetica"/>
          <w:color w:val="1C1C1C"/>
          <w:sz w:val="16"/>
          <w:szCs w:val="16"/>
        </w:rPr>
        <w:t xml:space="preserve">La seconde devrait s'appeler </w:t>
      </w:r>
      <w:r w:rsidRPr="00916D5F">
        <w:rPr>
          <w:rFonts w:ascii="Helvetica" w:hAnsi="Helvetica" w:cs="Helvetica"/>
          <w:i/>
          <w:iCs/>
          <w:color w:val="1C1C1C"/>
          <w:sz w:val="16"/>
          <w:szCs w:val="16"/>
        </w:rPr>
        <w:t>sociologie des artistes et des milieux artistiques</w:t>
      </w:r>
      <w:r w:rsidRPr="00916D5F">
        <w:rPr>
          <w:rFonts w:ascii="Helvetica" w:hAnsi="Helvetica" w:cs="Helvetica"/>
          <w:color w:val="1C1C1C"/>
          <w:sz w:val="16"/>
          <w:szCs w:val="16"/>
        </w:rPr>
        <w:t>.</w:t>
      </w:r>
    </w:p>
    <w:p w:rsidR="00E9479A" w:rsidRPr="00916D5F" w:rsidRDefault="00E9479A" w:rsidP="00E9479A">
      <w:pPr>
        <w:rPr>
          <w:rFonts w:ascii="Helvetica" w:hAnsi="Helvetica" w:cs="Helvetica"/>
          <w:color w:val="1C1C1C"/>
          <w:sz w:val="16"/>
          <w:szCs w:val="16"/>
        </w:rPr>
      </w:pPr>
      <w:r w:rsidRPr="00916D5F">
        <w:rPr>
          <w:rFonts w:ascii="Helvetica" w:hAnsi="Helvetica" w:cs="Helvetica"/>
          <w:color w:val="1C1C1C"/>
          <w:sz w:val="16"/>
          <w:szCs w:val="16"/>
        </w:rPr>
        <w:t>La limitation de la vie artistique à la consommation de produits culturels étatiques ou marchands, comprenant aussi l'emballage et la publicité, tend à faire converger les deux domaines d'étude vers un marketing du secteur culturel.</w:t>
      </w:r>
    </w:p>
    <w:p w:rsidR="00B0233D" w:rsidRPr="00916D5F" w:rsidRDefault="00B0233D" w:rsidP="00B0233D">
      <w:pPr>
        <w:widowControl w:val="0"/>
        <w:numPr>
          <w:ilvl w:val="0"/>
          <w:numId w:val="1"/>
        </w:numPr>
        <w:tabs>
          <w:tab w:val="left" w:pos="220"/>
          <w:tab w:val="left" w:pos="720"/>
        </w:tabs>
        <w:autoSpaceDE w:val="0"/>
        <w:autoSpaceDN w:val="0"/>
        <w:adjustRightInd w:val="0"/>
        <w:spacing w:after="240"/>
        <w:ind w:hanging="720"/>
        <w:rPr>
          <w:rFonts w:ascii="Times" w:hAnsi="Times" w:cs="Times"/>
          <w:sz w:val="16"/>
          <w:szCs w:val="16"/>
        </w:rPr>
      </w:pPr>
      <w:r w:rsidRPr="00916D5F">
        <w:rPr>
          <w:rFonts w:ascii="Times" w:hAnsi="Times" w:cs="Times"/>
          <w:color w:val="262626"/>
          <w:position w:val="2"/>
          <w:sz w:val="16"/>
          <w:szCs w:val="16"/>
        </w:rPr>
        <w:t> </w:t>
      </w:r>
      <w:r w:rsidRPr="00916D5F">
        <w:rPr>
          <w:rFonts w:ascii="Times" w:hAnsi="Times" w:cs="Times"/>
          <w:sz w:val="16"/>
          <w:szCs w:val="16"/>
        </w:rPr>
        <w:t xml:space="preserve">La géographie a notamment pour but de comprendre comment se construit le rapport entre individus et territoires. Or, au-delà de ce qui fonde l’existence même du territoire, l’appropriation d’une portion d’espace par un groupe humain, on trouve l’idéel, le sentiment d’appartenance, la relation à un espace en tant que lieu de vie et qui mobilisent des représentations cognitives, des relations sensibles. Ainsi, certaines notions comme la perception, la cognition, les représentations de l’espace ont émergé dans la discipline géographique. Ces thématiques permettent de mettre en relation les structures spatiales objectives et les significations sociales, culturelles et sensibles des lieux. La ville passe ainsi du concret au perçu, au représenté, de l’objectif au </w:t>
      </w:r>
      <w:r w:rsidR="00071EFB" w:rsidRPr="00916D5F">
        <w:rPr>
          <w:rFonts w:ascii="Times" w:hAnsi="Times" w:cs="Times"/>
          <w:sz w:val="16"/>
          <w:szCs w:val="16"/>
        </w:rPr>
        <w:t xml:space="preserve">subjectif (Berque, 1995, </w:t>
      </w:r>
      <w:r w:rsidRPr="00916D5F">
        <w:rPr>
          <w:rFonts w:ascii="Times" w:hAnsi="Times" w:cs="Times"/>
          <w:sz w:val="16"/>
          <w:szCs w:val="16"/>
        </w:rPr>
        <w:t xml:space="preserve">Santos, 1997). </w:t>
      </w:r>
    </w:p>
    <w:p w:rsidR="003B69CF" w:rsidRPr="00916D5F" w:rsidRDefault="003B69CF" w:rsidP="00B0233D">
      <w:pPr>
        <w:widowControl w:val="0"/>
        <w:numPr>
          <w:ilvl w:val="0"/>
          <w:numId w:val="1"/>
        </w:numPr>
        <w:tabs>
          <w:tab w:val="left" w:pos="220"/>
          <w:tab w:val="left" w:pos="720"/>
        </w:tabs>
        <w:autoSpaceDE w:val="0"/>
        <w:autoSpaceDN w:val="0"/>
        <w:adjustRightInd w:val="0"/>
        <w:spacing w:after="240"/>
        <w:ind w:hanging="720"/>
        <w:rPr>
          <w:rFonts w:ascii="Times" w:hAnsi="Times" w:cs="Times"/>
          <w:sz w:val="16"/>
          <w:szCs w:val="16"/>
        </w:rPr>
      </w:pPr>
      <w:r w:rsidRPr="00916D5F">
        <w:rPr>
          <w:rFonts w:ascii="Times" w:hAnsi="Times" w:cs="Times"/>
          <w:sz w:val="16"/>
          <w:szCs w:val="16"/>
        </w:rPr>
        <w:t>Appréhender le contexte spatial des ambiances urbaines  Ambiances et paysages, éléments particuliers de la relation des  individus à l’espace</w:t>
      </w:r>
      <w:r w:rsidR="00071EFB" w:rsidRPr="00916D5F">
        <w:rPr>
          <w:rFonts w:ascii="Times" w:hAnsi="Times" w:cs="Times"/>
          <w:sz w:val="16"/>
          <w:szCs w:val="16"/>
        </w:rPr>
        <w:t>.</w:t>
      </w:r>
    </w:p>
    <w:p w:rsidR="00BF0BDD" w:rsidRPr="00916D5F" w:rsidRDefault="00BF0BDD" w:rsidP="00B0233D">
      <w:pPr>
        <w:widowControl w:val="0"/>
        <w:numPr>
          <w:ilvl w:val="0"/>
          <w:numId w:val="1"/>
        </w:numPr>
        <w:tabs>
          <w:tab w:val="left" w:pos="220"/>
          <w:tab w:val="left" w:pos="720"/>
        </w:tabs>
        <w:autoSpaceDE w:val="0"/>
        <w:autoSpaceDN w:val="0"/>
        <w:adjustRightInd w:val="0"/>
        <w:spacing w:after="240"/>
        <w:ind w:hanging="720"/>
        <w:rPr>
          <w:rFonts w:ascii="Times" w:hAnsi="Times" w:cs="Times"/>
          <w:sz w:val="16"/>
          <w:szCs w:val="16"/>
        </w:rPr>
      </w:pPr>
      <w:r w:rsidRPr="00916D5F">
        <w:rPr>
          <w:rFonts w:ascii="Times" w:hAnsi="Times" w:cs="Times"/>
          <w:sz w:val="16"/>
          <w:szCs w:val="16"/>
        </w:rPr>
        <w:t>fournir des indications très intéressantes sur la disposition spatiale des ambiances et donc sur la contrainte structurelle que la ville impose aux individus.  Les usages des espaces urbains</w:t>
      </w:r>
      <w:r w:rsidR="00071EFB" w:rsidRPr="00916D5F">
        <w:rPr>
          <w:rFonts w:ascii="Times" w:hAnsi="Times" w:cs="Times"/>
          <w:sz w:val="16"/>
          <w:szCs w:val="16"/>
        </w:rPr>
        <w:t>.</w:t>
      </w:r>
    </w:p>
    <w:p w:rsidR="00B0233D" w:rsidRPr="00916D5F" w:rsidRDefault="00071EFB" w:rsidP="00E9479A">
      <w:pPr>
        <w:rPr>
          <w:sz w:val="16"/>
          <w:szCs w:val="16"/>
        </w:rPr>
      </w:pPr>
      <w:r w:rsidRPr="00916D5F">
        <w:rPr>
          <w:sz w:val="16"/>
          <w:szCs w:val="16"/>
        </w:rPr>
        <w:t>A bientôt.</w:t>
      </w:r>
    </w:p>
    <w:p w:rsidR="00071EFB" w:rsidRPr="00916D5F" w:rsidRDefault="00071EFB" w:rsidP="00E9479A">
      <w:pPr>
        <w:rPr>
          <w:sz w:val="16"/>
          <w:szCs w:val="16"/>
        </w:rPr>
      </w:pPr>
      <w:r w:rsidRPr="00916D5F">
        <w:rPr>
          <w:sz w:val="16"/>
          <w:szCs w:val="16"/>
        </w:rPr>
        <w:t>Et grosse bise numérique.</w:t>
      </w:r>
      <w:bookmarkEnd w:id="0"/>
    </w:p>
    <w:sectPr w:rsidR="00071EFB" w:rsidRPr="00916D5F"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E9479A"/>
    <w:rsid w:val="00071EFB"/>
    <w:rsid w:val="003B69CF"/>
    <w:rsid w:val="005C3697"/>
    <w:rsid w:val="00705786"/>
    <w:rsid w:val="008F179D"/>
    <w:rsid w:val="00916D5F"/>
    <w:rsid w:val="00B0233D"/>
    <w:rsid w:val="00BF0BDD"/>
    <w:rsid w:val="00E9479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Anglais" TargetMode="External"/><Relationship Id="rId13" Type="http://schemas.openxmlformats.org/officeDocument/2006/relationships/hyperlink" Target="http://fr.wikipedia.org/wiki/Social" TargetMode="External"/><Relationship Id="rId18" Type="http://schemas.openxmlformats.org/officeDocument/2006/relationships/hyperlink" Target="http://fr.wikipedia.org/wiki/Sociologie"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fr.wikipedia.org/wiki/%C5%92uvre_d%27art" TargetMode="External"/><Relationship Id="rId7" Type="http://schemas.openxmlformats.org/officeDocument/2006/relationships/hyperlink" Target="http://fr.wikipedia.org/wiki/Ren%C3%A9_Zazzo" TargetMode="External"/><Relationship Id="rId12" Type="http://schemas.openxmlformats.org/officeDocument/2006/relationships/hyperlink" Target="http://fr.wikipedia.org/wiki/%C3%89cologie" TargetMode="External"/><Relationship Id="rId17" Type="http://schemas.openxmlformats.org/officeDocument/2006/relationships/hyperlink" Target="http://fr.wikipedia.org/wiki/G%C3%A9n%C3%A9rations_futur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r.wikipedia.org/wiki/1987" TargetMode="External"/><Relationship Id="rId20" Type="http://schemas.openxmlformats.org/officeDocument/2006/relationships/hyperlink" Target="http://fr.wikipedia.org/wiki/Artiste" TargetMode="External"/><Relationship Id="rId1" Type="http://schemas.openxmlformats.org/officeDocument/2006/relationships/numbering" Target="numbering.xml"/><Relationship Id="rId6" Type="http://schemas.openxmlformats.org/officeDocument/2006/relationships/hyperlink" Target="http://fr.wikipedia.org/wiki/Th%C3%A9orie_des_intelligences_multiples" TargetMode="External"/><Relationship Id="rId11" Type="http://schemas.openxmlformats.org/officeDocument/2006/relationships/hyperlink" Target="http://fr.wikipedia.org/wiki/Terre" TargetMode="External"/><Relationship Id="rId24" Type="http://schemas.openxmlformats.org/officeDocument/2006/relationships/fontTable" Target="fontTable.xml"/><Relationship Id="rId5" Type="http://schemas.openxmlformats.org/officeDocument/2006/relationships/hyperlink" Target="http://fr.wikipedia.org/wiki/Howard_Gardner" TargetMode="External"/><Relationship Id="rId15" Type="http://schemas.openxmlformats.org/officeDocument/2006/relationships/hyperlink" Target="http://fr.wikipedia.org/wiki/Rapport_Brundtland" TargetMode="External"/><Relationship Id="rId23" Type="http://schemas.openxmlformats.org/officeDocument/2006/relationships/hyperlink" Target="http://fr.wikipedia.org/wiki/Historiens_de_l%27art" TargetMode="External"/><Relationship Id="rId10" Type="http://schemas.openxmlformats.org/officeDocument/2006/relationships/hyperlink" Target="http://fr.wikipedia.org/wiki/Bien_commun" TargetMode="External"/><Relationship Id="rId19" Type="http://schemas.openxmlformats.org/officeDocument/2006/relationships/hyperlink" Target="http://fr.wikipedia.org/wiki/Art" TargetMode="External"/><Relationship Id="rId4" Type="http://schemas.openxmlformats.org/officeDocument/2006/relationships/webSettings" Target="webSettings.xml"/><Relationship Id="rId9" Type="http://schemas.openxmlformats.org/officeDocument/2006/relationships/hyperlink" Target="http://fr.wikipedia.org/wiki/Fran%C3%A7ais" TargetMode="External"/><Relationship Id="rId14" Type="http://schemas.openxmlformats.org/officeDocument/2006/relationships/hyperlink" Target="http://fr.wikipedia.org/wiki/Long_terme" TargetMode="External"/><Relationship Id="rId22" Type="http://schemas.openxmlformats.org/officeDocument/2006/relationships/hyperlink" Target="http://fr.wikipedia.org/wiki/Mouvement_artistiqu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674</Words>
  <Characters>3708</Characters>
  <Application>Microsoft Office Word</Application>
  <DocSecurity>0</DocSecurity>
  <Lines>30</Lines>
  <Paragraphs>8</Paragraphs>
  <ScaleCrop>false</ScaleCrop>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4</cp:revision>
  <dcterms:created xsi:type="dcterms:W3CDTF">2015-02-11T12:10:00Z</dcterms:created>
  <dcterms:modified xsi:type="dcterms:W3CDTF">2015-08-04T09:58:00Z</dcterms:modified>
</cp:coreProperties>
</file>