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C2" w:rsidRPr="00B4670C" w:rsidRDefault="000927C2" w:rsidP="0072151D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bookmarkStart w:id="0" w:name="_GoBack"/>
    </w:p>
    <w:p w:rsidR="000927C2" w:rsidRPr="00B4670C" w:rsidRDefault="000927C2" w:rsidP="0072151D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</w:p>
    <w:p w:rsidR="0072151D" w:rsidRPr="00B4670C" w:rsidRDefault="0072151D" w:rsidP="0072151D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r w:rsidRPr="00B4670C">
        <w:rPr>
          <w:rFonts w:ascii="Georgia" w:hAnsi="Georgia" w:cs="Georgia"/>
          <w:color w:val="3A3A3A"/>
          <w:sz w:val="16"/>
          <w:szCs w:val="16"/>
        </w:rPr>
        <w:t>Là où nul</w:t>
      </w:r>
      <w:r w:rsidR="000927C2" w:rsidRPr="00B4670C">
        <w:rPr>
          <w:rFonts w:ascii="Georgia" w:hAnsi="Georgia" w:cs="Georgia"/>
          <w:color w:val="3A3A3A"/>
          <w:sz w:val="16"/>
          <w:szCs w:val="16"/>
        </w:rPr>
        <w:t xml:space="preserve"> n’obéit, personne ne commande.</w:t>
      </w:r>
    </w:p>
    <w:p w:rsidR="0072151D" w:rsidRPr="00B4670C" w:rsidRDefault="0072151D" w:rsidP="0072151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4670C">
        <w:rPr>
          <w:rFonts w:ascii="Georgia" w:hAnsi="Georgia" w:cs="Georgia"/>
          <w:color w:val="323232"/>
          <w:sz w:val="16"/>
          <w:szCs w:val="16"/>
        </w:rPr>
        <w:t xml:space="preserve">Deux ans après la roborative bio 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Anselme Bellegarrigue</w:t>
      </w:r>
      <w:r w:rsidRPr="00B4670C">
        <w:rPr>
          <w:rFonts w:ascii="Georgia" w:hAnsi="Georgia" w:cs="Georgia"/>
          <w:color w:val="323232"/>
          <w:sz w:val="16"/>
          <w:szCs w:val="16"/>
        </w:rPr>
        <w:t xml:space="preserve">, le premier des libertaires (éditions Libertaires), son auteur, Michel Perraudeau, frappe plus fort en sortant à l’Âge d’Homme, sous le titre 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Textes politiques</w:t>
      </w:r>
      <w:r w:rsidRPr="00B4670C">
        <w:rPr>
          <w:rFonts w:ascii="Georgia" w:hAnsi="Georgia" w:cs="Georgia"/>
          <w:color w:val="323232"/>
          <w:sz w:val="16"/>
          <w:szCs w:val="16"/>
        </w:rPr>
        <w:t>, l’œuvre quasi complète du fracassant polémiste du XIXe siècle. Accusant les socialistes de vouloir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faire de la société une immense ruche</w:t>
      </w:r>
      <w:r w:rsidRPr="00B4670C">
        <w:rPr>
          <w:rFonts w:ascii="Georgia" w:hAnsi="Georgia" w:cs="Georgia"/>
          <w:color w:val="323232"/>
          <w:sz w:val="16"/>
          <w:szCs w:val="16"/>
        </w:rPr>
        <w:t> », Bellegarrigue ne tomba dans aucun de leurs panneaux. Il fustigea la démocratie participative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s’engraissant sur le dos des électeurs</w:t>
      </w:r>
      <w:r w:rsidRPr="00B4670C">
        <w:rPr>
          <w:rFonts w:ascii="Times New Roman" w:hAnsi="Times New Roman" w:cs="Times New Roman"/>
          <w:color w:val="323232"/>
          <w:sz w:val="16"/>
          <w:szCs w:val="16"/>
        </w:rPr>
        <w:t> </w:t>
      </w:r>
      <w:r w:rsidRPr="00B4670C">
        <w:rPr>
          <w:rFonts w:ascii="Georgia" w:hAnsi="Georgia" w:cs="Georgia"/>
          <w:color w:val="323232"/>
          <w:sz w:val="16"/>
          <w:szCs w:val="16"/>
        </w:rPr>
        <w:t> ». Il fila une frottée au principe même de gouvernement («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Le pouvoir ne possède que ce qu’il prend au peuple</w:t>
      </w:r>
      <w:r w:rsidRPr="00B4670C">
        <w:rPr>
          <w:rFonts w:ascii="Georgia" w:hAnsi="Georgia" w:cs="Georgia"/>
          <w:color w:val="323232"/>
          <w:sz w:val="16"/>
          <w:szCs w:val="16"/>
        </w:rPr>
        <w:t> »). Il vitupéra contre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 xml:space="preserve"> le dogme de la résignation, de l’abnégation, de la renonciation à soi-même</w:t>
      </w:r>
      <w:r w:rsidRPr="00B4670C">
        <w:rPr>
          <w:rFonts w:ascii="Georgia" w:hAnsi="Georgia" w:cs="Georgia"/>
          <w:color w:val="323232"/>
          <w:sz w:val="16"/>
          <w:szCs w:val="16"/>
        </w:rPr>
        <w:t xml:space="preserve"> » et contre le grégarisme. Il se fit le chantre avec la virulence d’un Stirner de l’individualisme libertaire. Il jeta les bases d’une société harmonieuse sans État dans son journal 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L’Anarchie</w:t>
      </w:r>
      <w:r w:rsidRPr="00B4670C">
        <w:rPr>
          <w:rFonts w:ascii="Georgia" w:hAnsi="Georgia" w:cs="Georgia"/>
          <w:color w:val="323232"/>
          <w:sz w:val="16"/>
          <w:szCs w:val="16"/>
        </w:rPr>
        <w:t xml:space="preserve">. « Journal de l’ordre » (1859) dont il était l’unique rédacteur. Et, en attendant le grand chambard, il exhorta à l’abstentionnisme et à la désobéissance passive systématique. C’est probablement lui, en effet, qui exposa anonymement dans le quotidien toulousain 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La Civilisation</w:t>
      </w:r>
      <w:r w:rsidRPr="00B4670C">
        <w:rPr>
          <w:rFonts w:ascii="Georgia" w:hAnsi="Georgia" w:cs="Georgia"/>
          <w:color w:val="323232"/>
          <w:sz w:val="16"/>
          <w:szCs w:val="16"/>
        </w:rPr>
        <w:t xml:space="preserve"> la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 xml:space="preserve"> théorie du calme plat</w:t>
      </w:r>
      <w:r w:rsidRPr="00B4670C">
        <w:rPr>
          <w:rFonts w:ascii="Georgia" w:hAnsi="Georgia" w:cs="Georgia"/>
          <w:color w:val="323232"/>
          <w:sz w:val="16"/>
          <w:szCs w:val="16"/>
        </w:rPr>
        <w:t> » consistant à ne plus même prendre connaissance des lois en vigueur et à répondre par la léthargie à tout arrêté municipal ou à toute autre directive officielle jusqu’à ce que l’appareil social tout entier soit cocassement paralysé par cette symphonie de fins de non-recevoir.</w:t>
      </w:r>
    </w:p>
    <w:p w:rsidR="005C3697" w:rsidRPr="00B4670C" w:rsidRDefault="0072151D" w:rsidP="0072151D">
      <w:pPr>
        <w:rPr>
          <w:rFonts w:ascii="Georgia" w:hAnsi="Georgia" w:cs="Georgia"/>
          <w:color w:val="323232"/>
          <w:sz w:val="16"/>
          <w:szCs w:val="16"/>
        </w:rPr>
      </w:pPr>
      <w:r w:rsidRPr="00B4670C">
        <w:rPr>
          <w:rFonts w:ascii="Georgia" w:hAnsi="Georgia" w:cs="Georgia"/>
          <w:color w:val="323232"/>
          <w:sz w:val="16"/>
          <w:szCs w:val="16"/>
        </w:rPr>
        <w:t xml:space="preserve">On continue à planer chouagamment avec 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La Communauté politique des « tous uns »</w:t>
      </w:r>
      <w:r w:rsidRPr="00B4670C">
        <w:rPr>
          <w:rFonts w:ascii="Georgia" w:hAnsi="Georgia" w:cs="Georgia"/>
          <w:color w:val="323232"/>
          <w:sz w:val="16"/>
          <w:szCs w:val="16"/>
        </w:rPr>
        <w:t xml:space="preserve"> (Les Belles Lettres), un entretien-fleuve du journaliste plutôt freudo-marxiste Michel Enaudeau avec le meilleur décortiqueur des écrits de La Boétie, le professeur Miguel Abensour. Lequel oppose dans le champ politique d’après 1989 deux formes de totalités</w:t>
      </w:r>
      <w:r w:rsidRPr="00B4670C">
        <w:rPr>
          <w:rFonts w:ascii="Times New Roman" w:hAnsi="Times New Roman" w:cs="Times New Roman"/>
          <w:color w:val="323232"/>
          <w:sz w:val="16"/>
          <w:szCs w:val="16"/>
        </w:rPr>
        <w:t> </w:t>
      </w:r>
      <w:r w:rsidRPr="00B4670C">
        <w:rPr>
          <w:rFonts w:ascii="Georgia" w:hAnsi="Georgia" w:cs="Georgia"/>
          <w:color w:val="323232"/>
          <w:sz w:val="16"/>
          <w:szCs w:val="16"/>
        </w:rPr>
        <w:t> : le Tous Un, soit l’État, et le tous un (le Contr’Un selon La Boétie), soit une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démocratie insurgeante</w:t>
      </w:r>
      <w:r w:rsidRPr="00B4670C">
        <w:rPr>
          <w:rFonts w:ascii="Georgia" w:hAnsi="Georgia" w:cs="Georgia"/>
          <w:color w:val="323232"/>
          <w:sz w:val="16"/>
          <w:szCs w:val="16"/>
        </w:rPr>
        <w:t> » tendant vers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une société autre</w:t>
      </w:r>
      <w:r w:rsidRPr="00B4670C">
        <w:rPr>
          <w:rFonts w:ascii="Georgia" w:hAnsi="Georgia" w:cs="Georgia"/>
          <w:color w:val="323232"/>
          <w:sz w:val="16"/>
          <w:szCs w:val="16"/>
        </w:rPr>
        <w:t> ». Et après avoir évoqué quelques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fortes effervescences utopiques</w:t>
      </w:r>
      <w:r w:rsidRPr="00B4670C">
        <w:rPr>
          <w:rFonts w:ascii="Georgia" w:hAnsi="Georgia" w:cs="Georgia"/>
          <w:color w:val="323232"/>
          <w:sz w:val="16"/>
          <w:szCs w:val="16"/>
        </w:rPr>
        <w:t> » nous ayant entraîné dans une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politique de l’émancipation</w:t>
      </w:r>
      <w:r w:rsidRPr="00B4670C">
        <w:rPr>
          <w:rFonts w:ascii="Georgia" w:hAnsi="Georgia" w:cs="Georgia"/>
          <w:color w:val="323232"/>
          <w:sz w:val="16"/>
          <w:szCs w:val="16"/>
        </w:rPr>
        <w:t> » comme la révolution de juin 1848, la Commune de Paris de 1871, les journées de mai 1937 à Barcelone ou Mai 68, Abensour conclut son appel à la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non-domination</w:t>
      </w:r>
      <w:r w:rsidRPr="00B4670C">
        <w:rPr>
          <w:rFonts w:ascii="Georgia" w:hAnsi="Georgia" w:cs="Georgia"/>
          <w:color w:val="323232"/>
          <w:sz w:val="16"/>
          <w:szCs w:val="16"/>
        </w:rPr>
        <w:t> » par ces mots engageants</w:t>
      </w:r>
      <w:r w:rsidRPr="00B4670C">
        <w:rPr>
          <w:rFonts w:ascii="Times New Roman" w:hAnsi="Times New Roman" w:cs="Times New Roman"/>
          <w:color w:val="323232"/>
          <w:sz w:val="16"/>
          <w:szCs w:val="16"/>
        </w:rPr>
        <w:t> </w:t>
      </w:r>
      <w:r w:rsidRPr="00B4670C">
        <w:rPr>
          <w:rFonts w:ascii="Georgia" w:hAnsi="Georgia" w:cs="Georgia"/>
          <w:color w:val="323232"/>
          <w:sz w:val="16"/>
          <w:szCs w:val="16"/>
        </w:rPr>
        <w:t> :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N’oublions pas la sommation utopique que nous adresse le temps présent.</w:t>
      </w:r>
      <w:r w:rsidRPr="00B4670C">
        <w:rPr>
          <w:rFonts w:ascii="Georgia" w:hAnsi="Georgia" w:cs="Georgia"/>
          <w:color w:val="323232"/>
          <w:sz w:val="16"/>
          <w:szCs w:val="16"/>
        </w:rPr>
        <w:t> » Peut-être libèrera-t-elle les hommes de la peur et les lancera-t-elle dans la recherche d’une société « </w:t>
      </w:r>
      <w:r w:rsidRPr="00B4670C">
        <w:rPr>
          <w:rFonts w:ascii="Georgia" w:hAnsi="Georgia" w:cs="Georgia"/>
          <w:i/>
          <w:iCs/>
          <w:color w:val="323232"/>
          <w:sz w:val="16"/>
          <w:szCs w:val="16"/>
        </w:rPr>
        <w:t>conjuguant le désir de liberté et le désir d’utopie</w:t>
      </w:r>
      <w:r w:rsidRPr="00B4670C">
        <w:rPr>
          <w:rFonts w:ascii="Georgia" w:hAnsi="Georgia" w:cs="Georgia"/>
          <w:color w:val="323232"/>
          <w:sz w:val="16"/>
          <w:szCs w:val="16"/>
        </w:rPr>
        <w:t> ».</w:t>
      </w:r>
    </w:p>
    <w:p w:rsidR="000927C2" w:rsidRPr="00B4670C" w:rsidRDefault="000927C2" w:rsidP="0072151D">
      <w:pPr>
        <w:rPr>
          <w:rFonts w:ascii="Georgia" w:hAnsi="Georgia" w:cs="Georgia"/>
          <w:color w:val="323232"/>
          <w:sz w:val="16"/>
          <w:szCs w:val="16"/>
        </w:rPr>
      </w:pPr>
    </w:p>
    <w:p w:rsidR="000927C2" w:rsidRPr="00B4670C" w:rsidRDefault="000927C2" w:rsidP="000927C2">
      <w:pPr>
        <w:rPr>
          <w:sz w:val="16"/>
          <w:szCs w:val="16"/>
        </w:rPr>
      </w:pPr>
      <w:r w:rsidRPr="00B4670C">
        <w:rPr>
          <w:sz w:val="16"/>
          <w:szCs w:val="16"/>
        </w:rPr>
        <w:t>Article de C,Q,F,D, ce qu’il faut détruire.</w:t>
      </w:r>
    </w:p>
    <w:p w:rsidR="000927C2" w:rsidRPr="00B4670C" w:rsidRDefault="000927C2" w:rsidP="000927C2">
      <w:pPr>
        <w:rPr>
          <w:sz w:val="16"/>
          <w:szCs w:val="16"/>
        </w:rPr>
      </w:pPr>
      <w:r w:rsidRPr="00B4670C">
        <w:rPr>
          <w:sz w:val="16"/>
          <w:szCs w:val="16"/>
        </w:rPr>
        <w:t>A bientôt.</w:t>
      </w:r>
    </w:p>
    <w:p w:rsidR="000927C2" w:rsidRPr="00B4670C" w:rsidRDefault="000927C2" w:rsidP="000927C2">
      <w:pPr>
        <w:rPr>
          <w:sz w:val="16"/>
          <w:szCs w:val="16"/>
        </w:rPr>
      </w:pPr>
      <w:r w:rsidRPr="00B4670C">
        <w:rPr>
          <w:sz w:val="16"/>
          <w:szCs w:val="16"/>
        </w:rPr>
        <w:t>Grosse bise numérique.</w:t>
      </w:r>
      <w:bookmarkEnd w:id="0"/>
    </w:p>
    <w:sectPr w:rsidR="000927C2" w:rsidRPr="00B4670C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FELayout/>
  </w:compat>
  <w:rsids>
    <w:rsidRoot w:val="0072151D"/>
    <w:rsid w:val="000927C2"/>
    <w:rsid w:val="005C3697"/>
    <w:rsid w:val="0072151D"/>
    <w:rsid w:val="00B4670C"/>
    <w:rsid w:val="00F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reno</cp:lastModifiedBy>
  <cp:revision>3</cp:revision>
  <dcterms:created xsi:type="dcterms:W3CDTF">2015-02-23T14:51:00Z</dcterms:created>
  <dcterms:modified xsi:type="dcterms:W3CDTF">2015-08-04T09:57:00Z</dcterms:modified>
</cp:coreProperties>
</file>